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25" w:rsidRPr="00715595" w:rsidRDefault="00765112" w:rsidP="00BE3525">
      <w:pPr>
        <w:spacing w:before="120" w:after="12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KISA ÜRÜN BİLGİSİ VE KULLANMA TALİMATI</w:t>
      </w:r>
      <w:r w:rsidR="00B27B9B" w:rsidRPr="00715595">
        <w:rPr>
          <w:rFonts w:ascii="Times New Roman" w:eastAsia="Calibri" w:hAnsi="Times New Roman" w:cs="Times New Roman"/>
          <w:b/>
          <w:sz w:val="24"/>
          <w:szCs w:val="24"/>
        </w:rPr>
        <w:t xml:space="preserve"> BAŞVURULARI İÇİN REFERANS SEÇİM DOKÜMANI  </w:t>
      </w:r>
    </w:p>
    <w:p w:rsidR="00066135" w:rsidRPr="00715595" w:rsidRDefault="00066135" w:rsidP="00BE3525">
      <w:pPr>
        <w:spacing w:before="120" w:after="12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8C8" w:rsidRDefault="00F82447" w:rsidP="007155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doküman Kısa Ürün Bilgisi (KÜB) ve Kullanma Talimatı (KT) başvurularının hazırlanması ve incelenmesi esnasında esas alınacak olan referansın seçimine ilişkin uygulamaları belirlemek amacıyla hazırlanmıştır.</w:t>
      </w:r>
    </w:p>
    <w:p w:rsidR="001F252F" w:rsidRPr="00715595" w:rsidRDefault="001F252F" w:rsidP="007155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525" w:rsidRPr="00715595" w:rsidRDefault="00B27B9B" w:rsidP="001F252F">
      <w:pPr>
        <w:pStyle w:val="ListeParagraf"/>
        <w:numPr>
          <w:ilvl w:val="0"/>
          <w:numId w:val="2"/>
        </w:numPr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595">
        <w:rPr>
          <w:rFonts w:ascii="Times New Roman" w:hAnsi="Times New Roman" w:cs="Times New Roman"/>
          <w:sz w:val="24"/>
          <w:szCs w:val="24"/>
        </w:rPr>
        <w:t>Referans</w:t>
      </w:r>
      <w:r w:rsidR="00BE3525" w:rsidRPr="00715595">
        <w:rPr>
          <w:rFonts w:ascii="Times New Roman" w:hAnsi="Times New Roman" w:cs="Times New Roman"/>
          <w:sz w:val="24"/>
          <w:szCs w:val="24"/>
        </w:rPr>
        <w:t xml:space="preserve"> ürünler</w:t>
      </w:r>
      <w:r w:rsidR="00B13DDF" w:rsidRPr="00715595">
        <w:rPr>
          <w:rFonts w:ascii="Times New Roman" w:hAnsi="Times New Roman" w:cs="Times New Roman"/>
          <w:sz w:val="24"/>
          <w:szCs w:val="24"/>
        </w:rPr>
        <w:t>in</w:t>
      </w:r>
      <w:r w:rsidR="00BE3525" w:rsidRPr="00715595">
        <w:rPr>
          <w:rFonts w:ascii="Times New Roman" w:hAnsi="Times New Roman" w:cs="Times New Roman"/>
          <w:sz w:val="24"/>
          <w:szCs w:val="24"/>
        </w:rPr>
        <w:t xml:space="preserve"> ve </w:t>
      </w:r>
      <w:r w:rsidRPr="00715595">
        <w:rPr>
          <w:rFonts w:ascii="Times New Roman" w:hAnsi="Times New Roman" w:cs="Times New Roman"/>
          <w:sz w:val="24"/>
          <w:szCs w:val="24"/>
        </w:rPr>
        <w:t>referansı</w:t>
      </w:r>
      <w:r w:rsidR="00BE3525" w:rsidRPr="00715595">
        <w:rPr>
          <w:rFonts w:ascii="Times New Roman" w:hAnsi="Times New Roman" w:cs="Times New Roman"/>
          <w:sz w:val="24"/>
          <w:szCs w:val="24"/>
        </w:rPr>
        <w:t xml:space="preserve"> çeşitli nedenlerle (ithal edilmeme, üretilmeme, pasifte olma) piyasada bulunmayan eşdeğer ürünlerin içinde ilk ruhsat alan ürünün KÜB ve KT metinleri </w:t>
      </w:r>
      <w:r w:rsidR="00EC5BBA" w:rsidRPr="00715595">
        <w:rPr>
          <w:rFonts w:ascii="Times New Roman" w:hAnsi="Times New Roman" w:cs="Times New Roman"/>
          <w:sz w:val="24"/>
          <w:szCs w:val="24"/>
        </w:rPr>
        <w:t xml:space="preserve">en güncel </w:t>
      </w:r>
      <w:r w:rsidR="00BE3525" w:rsidRPr="00715595">
        <w:rPr>
          <w:rFonts w:ascii="Times New Roman" w:hAnsi="Times New Roman" w:cs="Times New Roman"/>
          <w:sz w:val="24"/>
          <w:szCs w:val="24"/>
        </w:rPr>
        <w:t xml:space="preserve">uluslararası orijinal referans dokümanlar doğrultusunda hazırlanır. </w:t>
      </w:r>
    </w:p>
    <w:p w:rsidR="00BE3525" w:rsidRPr="00715595" w:rsidRDefault="00B27B9B" w:rsidP="0001470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595">
        <w:rPr>
          <w:rFonts w:ascii="Times New Roman" w:eastAsia="Calibri" w:hAnsi="Times New Roman" w:cs="Times New Roman"/>
          <w:sz w:val="24"/>
          <w:szCs w:val="24"/>
        </w:rPr>
        <w:t>Eşdeğer ürünler referans</w:t>
      </w:r>
      <w:r w:rsidR="00BE3525" w:rsidRPr="00715595">
        <w:rPr>
          <w:rFonts w:ascii="Times New Roman" w:eastAsia="Calibri" w:hAnsi="Times New Roman" w:cs="Times New Roman"/>
          <w:sz w:val="24"/>
          <w:szCs w:val="24"/>
        </w:rPr>
        <w:t xml:space="preserve"> ürünü takip eder ve güncellemeleri uygular. Kurum resmi internet sitesinde yayımlı </w:t>
      </w:r>
      <w:r w:rsidRPr="00715595">
        <w:rPr>
          <w:rFonts w:ascii="Times New Roman" w:eastAsia="Calibri" w:hAnsi="Times New Roman" w:cs="Times New Roman"/>
          <w:sz w:val="24"/>
          <w:szCs w:val="24"/>
        </w:rPr>
        <w:t>referans</w:t>
      </w:r>
      <w:r w:rsidR="00BE3525" w:rsidRPr="00715595">
        <w:rPr>
          <w:rFonts w:ascii="Times New Roman" w:eastAsia="Calibri" w:hAnsi="Times New Roman" w:cs="Times New Roman"/>
          <w:sz w:val="24"/>
          <w:szCs w:val="24"/>
        </w:rPr>
        <w:t xml:space="preserve"> ürün KÜB/</w:t>
      </w:r>
      <w:proofErr w:type="spellStart"/>
      <w:r w:rsidR="00BE3525" w:rsidRPr="00715595">
        <w:rPr>
          <w:rFonts w:ascii="Times New Roman" w:eastAsia="Calibri" w:hAnsi="Times New Roman" w:cs="Times New Roman"/>
          <w:sz w:val="24"/>
          <w:szCs w:val="24"/>
        </w:rPr>
        <w:t>KT’si</w:t>
      </w:r>
      <w:proofErr w:type="spellEnd"/>
      <w:r w:rsidR="00BE3525" w:rsidRPr="00715595">
        <w:rPr>
          <w:rFonts w:ascii="Times New Roman" w:eastAsia="Calibri" w:hAnsi="Times New Roman" w:cs="Times New Roman"/>
          <w:sz w:val="24"/>
          <w:szCs w:val="24"/>
        </w:rPr>
        <w:t xml:space="preserve"> esas alınır.</w:t>
      </w:r>
    </w:p>
    <w:p w:rsidR="00BE3525" w:rsidRPr="00715595" w:rsidRDefault="00B27B9B" w:rsidP="0001470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595">
        <w:rPr>
          <w:rFonts w:ascii="Times New Roman" w:eastAsia="Calibri" w:hAnsi="Times New Roman" w:cs="Times New Roman"/>
          <w:sz w:val="24"/>
          <w:szCs w:val="24"/>
        </w:rPr>
        <w:t>Referansı</w:t>
      </w:r>
      <w:r w:rsidR="00BE3525" w:rsidRPr="00715595">
        <w:rPr>
          <w:rFonts w:ascii="Times New Roman" w:hAnsi="Times New Roman" w:cs="Times New Roman"/>
          <w:sz w:val="24"/>
          <w:szCs w:val="24"/>
        </w:rPr>
        <w:t xml:space="preserve"> çeşitli nedenlerle (ithal edilmeme, üretilmeme, pasifte olma) piyasada bulunmayan eşdeğer ürünler </w:t>
      </w:r>
      <w:r w:rsidR="00BE3525" w:rsidRPr="00715595">
        <w:rPr>
          <w:rFonts w:ascii="Times New Roman" w:eastAsia="Calibri" w:hAnsi="Times New Roman" w:cs="Times New Roman"/>
          <w:sz w:val="24"/>
          <w:szCs w:val="24"/>
        </w:rPr>
        <w:t>kendi aralarında ilk ruhsat alan eşdeğer ürünün güncellemelerini takip eder. Söz konusu ürünlerin KÜB ve KT metinlerinin hazırlanmasında ruhsat tarihi en eski olan eşdeğer ürünün KÜB/</w:t>
      </w:r>
      <w:proofErr w:type="spellStart"/>
      <w:r w:rsidR="00BE3525" w:rsidRPr="00715595">
        <w:rPr>
          <w:rFonts w:ascii="Times New Roman" w:eastAsia="Calibri" w:hAnsi="Times New Roman" w:cs="Times New Roman"/>
          <w:sz w:val="24"/>
          <w:szCs w:val="24"/>
        </w:rPr>
        <w:t>KT’si</w:t>
      </w:r>
      <w:proofErr w:type="spellEnd"/>
      <w:r w:rsidR="00BE3525" w:rsidRPr="00715595">
        <w:rPr>
          <w:rFonts w:ascii="Times New Roman" w:eastAsia="Calibri" w:hAnsi="Times New Roman" w:cs="Times New Roman"/>
          <w:sz w:val="24"/>
          <w:szCs w:val="24"/>
        </w:rPr>
        <w:t xml:space="preserve"> referans olarak esas alınır.</w:t>
      </w:r>
    </w:p>
    <w:p w:rsidR="00014700" w:rsidRPr="00715595" w:rsidRDefault="00B27B9B" w:rsidP="00014700">
      <w:pPr>
        <w:pStyle w:val="ListeParagraf"/>
        <w:numPr>
          <w:ilvl w:val="0"/>
          <w:numId w:val="2"/>
        </w:numPr>
        <w:spacing w:before="120"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595">
        <w:rPr>
          <w:rFonts w:ascii="Times New Roman" w:hAnsi="Times New Roman" w:cs="Times New Roman"/>
          <w:sz w:val="24"/>
          <w:szCs w:val="24"/>
        </w:rPr>
        <w:t>Referans</w:t>
      </w:r>
      <w:r w:rsidR="00BE3525" w:rsidRPr="00715595">
        <w:rPr>
          <w:rFonts w:ascii="Times New Roman" w:hAnsi="Times New Roman" w:cs="Times New Roman"/>
          <w:sz w:val="24"/>
          <w:szCs w:val="24"/>
        </w:rPr>
        <w:t xml:space="preserve"> ürünler için sunulan evrak ekinde referans olarak </w:t>
      </w:r>
      <w:r w:rsidR="005261FE" w:rsidRPr="00715595">
        <w:rPr>
          <w:rFonts w:ascii="Times New Roman" w:hAnsi="Times New Roman" w:cs="Times New Roman"/>
          <w:sz w:val="24"/>
          <w:szCs w:val="24"/>
        </w:rPr>
        <w:t xml:space="preserve">alınan </w:t>
      </w:r>
      <w:r w:rsidR="00BE3525" w:rsidRPr="00715595">
        <w:rPr>
          <w:rFonts w:ascii="Times New Roman" w:hAnsi="Times New Roman" w:cs="Times New Roman"/>
          <w:sz w:val="24"/>
          <w:szCs w:val="24"/>
        </w:rPr>
        <w:t>dokümanlar</w:t>
      </w:r>
      <w:r w:rsidR="005261FE" w:rsidRPr="00715595">
        <w:rPr>
          <w:rFonts w:ascii="Times New Roman" w:hAnsi="Times New Roman" w:cs="Times New Roman"/>
          <w:sz w:val="24"/>
          <w:szCs w:val="24"/>
        </w:rPr>
        <w:t xml:space="preserve"> sunulmalıdır.</w:t>
      </w:r>
      <w:r w:rsidR="00BE3525" w:rsidRPr="00715595">
        <w:rPr>
          <w:rFonts w:ascii="Times New Roman" w:hAnsi="Times New Roman" w:cs="Times New Roman"/>
          <w:sz w:val="24"/>
          <w:szCs w:val="24"/>
        </w:rPr>
        <w:t xml:space="preserve"> Firma Çekirdek Veri Formu (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– CCDS) tam bir referans kabul edilmez. </w:t>
      </w:r>
      <w:proofErr w:type="spellStart"/>
      <w:r w:rsidRPr="00715595">
        <w:rPr>
          <w:rFonts w:ascii="Times New Roman" w:hAnsi="Times New Roman" w:cs="Times New Roman"/>
          <w:sz w:val="24"/>
          <w:szCs w:val="24"/>
        </w:rPr>
        <w:t>SmPC</w:t>
      </w:r>
      <w:proofErr w:type="spellEnd"/>
      <w:r w:rsidRPr="007155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5595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715595">
        <w:rPr>
          <w:rFonts w:ascii="Times New Roman" w:hAnsi="Times New Roman" w:cs="Times New Roman"/>
          <w:sz w:val="24"/>
          <w:szCs w:val="24"/>
        </w:rPr>
        <w:t xml:space="preserve"> of Product </w:t>
      </w:r>
      <w:proofErr w:type="spellStart"/>
      <w:r w:rsidRPr="00715595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715595">
        <w:rPr>
          <w:rFonts w:ascii="Times New Roman" w:hAnsi="Times New Roman" w:cs="Times New Roman"/>
          <w:sz w:val="24"/>
          <w:szCs w:val="24"/>
        </w:rPr>
        <w:t>) ve PIL  (</w:t>
      </w:r>
      <w:proofErr w:type="spellStart"/>
      <w:r w:rsidRPr="00715595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715595">
        <w:rPr>
          <w:rFonts w:ascii="Times New Roman" w:hAnsi="Times New Roman" w:cs="Times New Roman"/>
          <w:sz w:val="24"/>
          <w:szCs w:val="24"/>
        </w:rPr>
        <w:t xml:space="preserve"> Information </w:t>
      </w:r>
      <w:proofErr w:type="spellStart"/>
      <w:r w:rsidRPr="00715595">
        <w:rPr>
          <w:rFonts w:ascii="Times New Roman" w:hAnsi="Times New Roman" w:cs="Times New Roman"/>
          <w:sz w:val="24"/>
          <w:szCs w:val="24"/>
        </w:rPr>
        <w:t>Leaflet</w:t>
      </w:r>
      <w:proofErr w:type="spellEnd"/>
      <w:r w:rsidRPr="00715595">
        <w:rPr>
          <w:rFonts w:ascii="Times New Roman" w:hAnsi="Times New Roman" w:cs="Times New Roman"/>
          <w:sz w:val="24"/>
          <w:szCs w:val="24"/>
        </w:rPr>
        <w:t xml:space="preserve">) </w:t>
      </w:r>
      <w:r w:rsidR="00BE3525" w:rsidRPr="00715595">
        <w:rPr>
          <w:rFonts w:ascii="Times New Roman" w:hAnsi="Times New Roman" w:cs="Times New Roman"/>
          <w:sz w:val="24"/>
          <w:szCs w:val="24"/>
        </w:rPr>
        <w:t>temel refe</w:t>
      </w:r>
      <w:r w:rsidR="00EC5BBA" w:rsidRPr="00715595">
        <w:rPr>
          <w:rFonts w:ascii="Times New Roman" w:hAnsi="Times New Roman" w:cs="Times New Roman"/>
          <w:sz w:val="24"/>
          <w:szCs w:val="24"/>
        </w:rPr>
        <w:t>ranstır.</w:t>
      </w:r>
    </w:p>
    <w:p w:rsidR="00BE3525" w:rsidRPr="00715595" w:rsidRDefault="005261FE" w:rsidP="00014700">
      <w:pPr>
        <w:pStyle w:val="ListeParagraf"/>
        <w:numPr>
          <w:ilvl w:val="0"/>
          <w:numId w:val="2"/>
        </w:numPr>
        <w:spacing w:before="120"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595">
        <w:rPr>
          <w:rFonts w:ascii="Times New Roman" w:hAnsi="Times New Roman" w:cs="Times New Roman"/>
          <w:sz w:val="24"/>
          <w:szCs w:val="24"/>
        </w:rPr>
        <w:t>Başvuru evrakı değerlendirilirken f</w:t>
      </w:r>
      <w:r w:rsidR="00BE3525" w:rsidRPr="00715595">
        <w:rPr>
          <w:rFonts w:ascii="Times New Roman" w:hAnsi="Times New Roman" w:cs="Times New Roman"/>
          <w:sz w:val="24"/>
          <w:szCs w:val="24"/>
        </w:rPr>
        <w:t xml:space="preserve">irma tarafından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SmPC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ve PIL sunulmuş da olsa, </w:t>
      </w:r>
      <w:r w:rsidR="00B27B9B" w:rsidRPr="00715595">
        <w:rPr>
          <w:rFonts w:ascii="Times New Roman" w:hAnsi="Times New Roman" w:cs="Times New Roman"/>
          <w:sz w:val="24"/>
          <w:szCs w:val="24"/>
        </w:rPr>
        <w:t>Avrupa İlaç Ajansı</w:t>
      </w:r>
      <w:r w:rsidR="00BE3525" w:rsidRPr="00715595">
        <w:rPr>
          <w:rFonts w:ascii="Times New Roman" w:hAnsi="Times New Roman" w:cs="Times New Roman"/>
          <w:sz w:val="24"/>
          <w:szCs w:val="24"/>
        </w:rPr>
        <w:t xml:space="preserve"> (EMA) (merkezi </w:t>
      </w:r>
      <w:proofErr w:type="gramStart"/>
      <w:r w:rsidR="00BE3525" w:rsidRPr="00715595">
        <w:rPr>
          <w:rFonts w:ascii="Times New Roman" w:hAnsi="Times New Roman" w:cs="Times New Roman"/>
          <w:sz w:val="24"/>
          <w:szCs w:val="24"/>
        </w:rPr>
        <w:t>prosedürle</w:t>
      </w:r>
      <w:proofErr w:type="gram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ruhsatlandırılan bir ürün grubu ise),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Compendium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eMC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) veya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&amp; Healthcare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(MHRA) internet sitelerindeki </w:t>
      </w:r>
      <w:proofErr w:type="spellStart"/>
      <w:r w:rsidR="00BE3525" w:rsidRPr="00715595">
        <w:rPr>
          <w:rFonts w:ascii="Times New Roman" w:hAnsi="Times New Roman" w:cs="Times New Roman"/>
          <w:sz w:val="24"/>
          <w:szCs w:val="24"/>
        </w:rPr>
        <w:t>SmPC</w:t>
      </w:r>
      <w:proofErr w:type="spellEnd"/>
      <w:r w:rsidR="00BE3525" w:rsidRPr="00715595">
        <w:rPr>
          <w:rFonts w:ascii="Times New Roman" w:hAnsi="Times New Roman" w:cs="Times New Roman"/>
          <w:sz w:val="24"/>
          <w:szCs w:val="24"/>
        </w:rPr>
        <w:t xml:space="preserve"> ve PIL incelenir. Başvuru sahibi firmanın sunduğu dokümanın güncelliği incelenir. Eğer doküman güncel değilse uluslararası veri tabanlarında ulaşılan güncel doküman referans kabul edilir. </w:t>
      </w:r>
    </w:p>
    <w:p w:rsidR="005261FE" w:rsidRPr="00715595" w:rsidRDefault="00BE3525" w:rsidP="00014700">
      <w:pPr>
        <w:pStyle w:val="ListeParagraf"/>
        <w:numPr>
          <w:ilvl w:val="0"/>
          <w:numId w:val="2"/>
        </w:numPr>
        <w:spacing w:before="120"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595">
        <w:rPr>
          <w:rFonts w:ascii="Times New Roman" w:hAnsi="Times New Roman" w:cs="Times New Roman"/>
          <w:sz w:val="24"/>
          <w:szCs w:val="24"/>
        </w:rPr>
        <w:t xml:space="preserve">U.S. </w:t>
      </w:r>
      <w:proofErr w:type="spellStart"/>
      <w:r w:rsidRPr="00715595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1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95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715595">
        <w:rPr>
          <w:rFonts w:ascii="Times New Roman" w:hAnsi="Times New Roman" w:cs="Times New Roman"/>
          <w:sz w:val="24"/>
          <w:szCs w:val="24"/>
        </w:rPr>
        <w:t xml:space="preserve"> Administration (FDA) internet sitesindeki bilgiler temel referans olmamakla birlikte </w:t>
      </w:r>
      <w:r w:rsidR="005261FE" w:rsidRPr="00715595">
        <w:rPr>
          <w:rFonts w:ascii="Times New Roman" w:hAnsi="Times New Roman" w:cs="Times New Roman"/>
          <w:sz w:val="24"/>
          <w:szCs w:val="24"/>
        </w:rPr>
        <w:t xml:space="preserve">mutlaka gözden geçirilmelidir. </w:t>
      </w:r>
      <w:r w:rsidRPr="00715595">
        <w:rPr>
          <w:rFonts w:ascii="Times New Roman" w:hAnsi="Times New Roman" w:cs="Times New Roman"/>
          <w:sz w:val="24"/>
          <w:szCs w:val="24"/>
        </w:rPr>
        <w:t xml:space="preserve">Ancak Avrupa Birliğinde yayımlı kaynaklarda yer almayan önemli bir yan etki veya uyarı için referans kabul edilebilir. Hiçbir kaynağa ulaşılamadığında, gebelik kategorisi için temel referanstır. </w:t>
      </w:r>
    </w:p>
    <w:p w:rsidR="005C42FF" w:rsidRPr="00715595" w:rsidRDefault="00BE3525" w:rsidP="005C42FF">
      <w:pPr>
        <w:pStyle w:val="ListeParagraf"/>
        <w:numPr>
          <w:ilvl w:val="0"/>
          <w:numId w:val="2"/>
        </w:numPr>
        <w:spacing w:before="120"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595">
        <w:rPr>
          <w:rFonts w:ascii="Times New Roman" w:eastAsia="Calibri" w:hAnsi="Times New Roman" w:cs="Times New Roman"/>
          <w:sz w:val="24"/>
          <w:szCs w:val="24"/>
        </w:rPr>
        <w:t>Drug</w:t>
      </w:r>
      <w:proofErr w:type="spellEnd"/>
      <w:r w:rsidRPr="00715595">
        <w:rPr>
          <w:rFonts w:ascii="Times New Roman" w:eastAsia="Calibri" w:hAnsi="Times New Roman" w:cs="Times New Roman"/>
          <w:sz w:val="24"/>
          <w:szCs w:val="24"/>
        </w:rPr>
        <w:t xml:space="preserve"> Information </w:t>
      </w:r>
      <w:proofErr w:type="spellStart"/>
      <w:r w:rsidRPr="00715595">
        <w:rPr>
          <w:rFonts w:ascii="Times New Roman" w:eastAsia="Calibri" w:hAnsi="Times New Roman" w:cs="Times New Roman"/>
          <w:sz w:val="24"/>
          <w:szCs w:val="24"/>
        </w:rPr>
        <w:t>Handbook</w:t>
      </w:r>
      <w:proofErr w:type="spellEnd"/>
      <w:r w:rsidRPr="00715595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715595">
        <w:rPr>
          <w:rFonts w:ascii="Times New Roman" w:eastAsia="Calibri" w:hAnsi="Times New Roman" w:cs="Times New Roman"/>
          <w:sz w:val="24"/>
          <w:szCs w:val="24"/>
        </w:rPr>
        <w:t>Physicians</w:t>
      </w:r>
      <w:proofErr w:type="spellEnd"/>
      <w:r w:rsidRPr="00715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595">
        <w:rPr>
          <w:rFonts w:ascii="Times New Roman" w:eastAsia="Calibri" w:hAnsi="Times New Roman" w:cs="Times New Roman"/>
          <w:sz w:val="24"/>
          <w:szCs w:val="24"/>
        </w:rPr>
        <w:t>Desk</w:t>
      </w:r>
      <w:proofErr w:type="spellEnd"/>
      <w:r w:rsidRPr="00715595">
        <w:rPr>
          <w:rFonts w:ascii="Times New Roman" w:eastAsia="Calibri" w:hAnsi="Times New Roman" w:cs="Times New Roman"/>
          <w:sz w:val="24"/>
          <w:szCs w:val="24"/>
        </w:rPr>
        <w:t xml:space="preserve"> Reference (PDR), </w:t>
      </w:r>
      <w:proofErr w:type="spellStart"/>
      <w:r w:rsidRPr="00715595">
        <w:rPr>
          <w:rFonts w:ascii="Times New Roman" w:eastAsia="Calibri" w:hAnsi="Times New Roman" w:cs="Times New Roman"/>
          <w:sz w:val="24"/>
          <w:szCs w:val="24"/>
        </w:rPr>
        <w:t>Martindale</w:t>
      </w:r>
      <w:proofErr w:type="spellEnd"/>
      <w:r w:rsidRPr="00715595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gramStart"/>
      <w:r w:rsidRPr="00715595">
        <w:rPr>
          <w:rFonts w:ascii="Times New Roman" w:eastAsia="Calibri" w:hAnsi="Times New Roman" w:cs="Times New Roman"/>
          <w:sz w:val="24"/>
          <w:szCs w:val="24"/>
        </w:rPr>
        <w:t>spesifik</w:t>
      </w:r>
      <w:proofErr w:type="gramEnd"/>
      <w:r w:rsidRPr="00715595">
        <w:rPr>
          <w:rFonts w:ascii="Times New Roman" w:eastAsia="Calibri" w:hAnsi="Times New Roman" w:cs="Times New Roman"/>
          <w:sz w:val="24"/>
          <w:szCs w:val="24"/>
        </w:rPr>
        <w:t xml:space="preserve"> ürün grupları için EMA kılavuzları da kaynak olarak değerlendirilebilir.</w:t>
      </w:r>
    </w:p>
    <w:p w:rsidR="009D055A" w:rsidRDefault="009D055A" w:rsidP="00715595">
      <w:pPr>
        <w:rPr>
          <w:rFonts w:ascii="Times New Roman" w:hAnsi="Times New Roman" w:cs="Times New Roman"/>
          <w:b/>
          <w:i/>
          <w:sz w:val="24"/>
        </w:rPr>
      </w:pPr>
    </w:p>
    <w:p w:rsidR="00715595" w:rsidRPr="00F82447" w:rsidRDefault="00F82447" w:rsidP="00715595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F82447">
        <w:rPr>
          <w:rFonts w:ascii="Times New Roman" w:hAnsi="Times New Roman" w:cs="Times New Roman"/>
          <w:b/>
          <w:i/>
          <w:sz w:val="24"/>
        </w:rPr>
        <w:t>Tanımlar</w:t>
      </w:r>
    </w:p>
    <w:p w:rsidR="005C42FF" w:rsidRPr="009D055A" w:rsidRDefault="005C42FF" w:rsidP="00715595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F82447">
        <w:rPr>
          <w:rFonts w:ascii="Times New Roman" w:hAnsi="Times New Roman" w:cs="Times New Roman"/>
          <w:b/>
          <w:i/>
          <w:sz w:val="24"/>
        </w:rPr>
        <w:t>Eşdeğer ürün:</w:t>
      </w:r>
      <w:r w:rsidRPr="00715595">
        <w:rPr>
          <w:rFonts w:ascii="Times New Roman" w:hAnsi="Times New Roman" w:cs="Times New Roman"/>
          <w:sz w:val="24"/>
        </w:rPr>
        <w:t xml:space="preserve"> </w:t>
      </w:r>
      <w:r w:rsidRPr="009D055A">
        <w:rPr>
          <w:rFonts w:ascii="Times New Roman" w:hAnsi="Times New Roman" w:cs="Times New Roman"/>
          <w:i/>
          <w:sz w:val="24"/>
        </w:rPr>
        <w:t>Etkin madde/maddeler</w:t>
      </w:r>
      <w:r w:rsidRPr="009D055A" w:rsidDel="009C61F3">
        <w:rPr>
          <w:rFonts w:ascii="Times New Roman" w:hAnsi="Times New Roman" w:cs="Times New Roman"/>
          <w:i/>
          <w:sz w:val="24"/>
        </w:rPr>
        <w:t xml:space="preserve"> </w:t>
      </w:r>
      <w:r w:rsidRPr="009D055A">
        <w:rPr>
          <w:rFonts w:ascii="Times New Roman" w:hAnsi="Times New Roman" w:cs="Times New Roman"/>
          <w:i/>
          <w:sz w:val="24"/>
        </w:rPr>
        <w:t xml:space="preserve">açısından referans tıbbi ürün ile aynı </w:t>
      </w:r>
      <w:proofErr w:type="gramStart"/>
      <w:r w:rsidRPr="009D055A">
        <w:rPr>
          <w:rFonts w:ascii="Times New Roman" w:hAnsi="Times New Roman" w:cs="Times New Roman"/>
          <w:i/>
          <w:sz w:val="24"/>
        </w:rPr>
        <w:t>kalitatif</w:t>
      </w:r>
      <w:proofErr w:type="gramEnd"/>
      <w:r w:rsidRPr="009D055A">
        <w:rPr>
          <w:rFonts w:ascii="Times New Roman" w:hAnsi="Times New Roman" w:cs="Times New Roman"/>
          <w:i/>
          <w:sz w:val="24"/>
        </w:rPr>
        <w:t xml:space="preserve"> ve kantitatif terkibe ve aynı </w:t>
      </w:r>
      <w:proofErr w:type="spellStart"/>
      <w:r w:rsidRPr="009D055A">
        <w:rPr>
          <w:rFonts w:ascii="Times New Roman" w:hAnsi="Times New Roman" w:cs="Times New Roman"/>
          <w:i/>
          <w:sz w:val="24"/>
        </w:rPr>
        <w:t>farmasötik</w:t>
      </w:r>
      <w:proofErr w:type="spellEnd"/>
      <w:r w:rsidRPr="009D055A">
        <w:rPr>
          <w:rFonts w:ascii="Times New Roman" w:hAnsi="Times New Roman" w:cs="Times New Roman"/>
          <w:i/>
          <w:sz w:val="24"/>
        </w:rPr>
        <w:t xml:space="preserve"> şekle sahip olan ve </w:t>
      </w:r>
      <w:proofErr w:type="spellStart"/>
      <w:r w:rsidRPr="009D055A">
        <w:rPr>
          <w:rFonts w:ascii="Times New Roman" w:hAnsi="Times New Roman" w:cs="Times New Roman"/>
          <w:i/>
          <w:sz w:val="24"/>
        </w:rPr>
        <w:t>biyoeşdeğerliğinin</w:t>
      </w:r>
      <w:proofErr w:type="spellEnd"/>
      <w:r w:rsidRPr="009D055A">
        <w:rPr>
          <w:rFonts w:ascii="Times New Roman" w:hAnsi="Times New Roman" w:cs="Times New Roman"/>
          <w:i/>
          <w:sz w:val="24"/>
        </w:rPr>
        <w:t xml:space="preserve"> uygun </w:t>
      </w:r>
      <w:proofErr w:type="spellStart"/>
      <w:r w:rsidRPr="009D055A">
        <w:rPr>
          <w:rFonts w:ascii="Times New Roman" w:hAnsi="Times New Roman" w:cs="Times New Roman"/>
          <w:i/>
          <w:sz w:val="24"/>
        </w:rPr>
        <w:lastRenderedPageBreak/>
        <w:t>biyoyararlanım</w:t>
      </w:r>
      <w:proofErr w:type="spellEnd"/>
      <w:r w:rsidRPr="009D055A">
        <w:rPr>
          <w:rFonts w:ascii="Times New Roman" w:hAnsi="Times New Roman" w:cs="Times New Roman"/>
          <w:i/>
          <w:sz w:val="24"/>
        </w:rPr>
        <w:t xml:space="preserve"> çalışmaları ile kanıtlandığı tıbbi ürünü ifade eder. (Bir etkin maddenin farklı tuzları, esterleri, eterleri, izomerleri, izomer karışımları, </w:t>
      </w:r>
      <w:proofErr w:type="gramStart"/>
      <w:r w:rsidRPr="009D055A">
        <w:rPr>
          <w:rFonts w:ascii="Times New Roman" w:hAnsi="Times New Roman" w:cs="Times New Roman"/>
          <w:i/>
          <w:sz w:val="24"/>
        </w:rPr>
        <w:t>kompleksleri</w:t>
      </w:r>
      <w:proofErr w:type="gramEnd"/>
      <w:r w:rsidRPr="009D055A">
        <w:rPr>
          <w:rFonts w:ascii="Times New Roman" w:hAnsi="Times New Roman" w:cs="Times New Roman"/>
          <w:i/>
          <w:sz w:val="24"/>
        </w:rPr>
        <w:t xml:space="preserve"> ve türevleri, güvenlilik ve/veya etkililik açısından özellikleri belirgin şekilde farklı olmadığı sürece etkin madde ile aynı kabul edilirler. Böyle durumlarda, ruhsatlandırılmış etkin madde/maddelerin farklı tuzlarının, esterlerinin ya da türevlerinin güvenliliği ve/veya etkililiğinin kanıtlanması için ilave bilgiler başvuru sahibi tarafından sunulur. Hemen salım sağlayan çeşitli oral </w:t>
      </w:r>
      <w:proofErr w:type="spellStart"/>
      <w:r w:rsidRPr="009D055A">
        <w:rPr>
          <w:rFonts w:ascii="Times New Roman" w:hAnsi="Times New Roman" w:cs="Times New Roman"/>
          <w:i/>
          <w:sz w:val="24"/>
        </w:rPr>
        <w:t>farmasötik</w:t>
      </w:r>
      <w:proofErr w:type="spellEnd"/>
      <w:r w:rsidRPr="009D055A">
        <w:rPr>
          <w:rFonts w:ascii="Times New Roman" w:hAnsi="Times New Roman" w:cs="Times New Roman"/>
          <w:i/>
          <w:sz w:val="24"/>
        </w:rPr>
        <w:t xml:space="preserve"> şekiller tek ve aynı </w:t>
      </w:r>
      <w:proofErr w:type="spellStart"/>
      <w:r w:rsidRPr="009D055A">
        <w:rPr>
          <w:rFonts w:ascii="Times New Roman" w:hAnsi="Times New Roman" w:cs="Times New Roman"/>
          <w:i/>
          <w:sz w:val="24"/>
        </w:rPr>
        <w:t>farmasötik</w:t>
      </w:r>
      <w:proofErr w:type="spellEnd"/>
      <w:r w:rsidRPr="009D055A">
        <w:rPr>
          <w:rFonts w:ascii="Times New Roman" w:hAnsi="Times New Roman" w:cs="Times New Roman"/>
          <w:i/>
          <w:sz w:val="24"/>
        </w:rPr>
        <w:t xml:space="preserve"> şekil olarak değerlendirilir. Başvuru sahibinin eşdeğer tıbbi ürünle ilgili kılavuzlarda ayrıntılı olarak tanımlanan ilgili </w:t>
      </w:r>
      <w:proofErr w:type="gramStart"/>
      <w:r w:rsidRPr="009D055A">
        <w:rPr>
          <w:rFonts w:ascii="Times New Roman" w:hAnsi="Times New Roman" w:cs="Times New Roman"/>
          <w:i/>
          <w:sz w:val="24"/>
        </w:rPr>
        <w:t>kriterleri</w:t>
      </w:r>
      <w:proofErr w:type="gramEnd"/>
      <w:r w:rsidRPr="009D055A">
        <w:rPr>
          <w:rFonts w:ascii="Times New Roman" w:hAnsi="Times New Roman" w:cs="Times New Roman"/>
          <w:i/>
          <w:sz w:val="24"/>
        </w:rPr>
        <w:t xml:space="preserve"> yerine getirmesi durumunda </w:t>
      </w:r>
      <w:proofErr w:type="spellStart"/>
      <w:r w:rsidRPr="009D055A">
        <w:rPr>
          <w:rFonts w:ascii="Times New Roman" w:hAnsi="Times New Roman" w:cs="Times New Roman"/>
          <w:i/>
          <w:sz w:val="24"/>
        </w:rPr>
        <w:t>biyoyararlanım</w:t>
      </w:r>
      <w:proofErr w:type="spellEnd"/>
      <w:r w:rsidRPr="009D055A">
        <w:rPr>
          <w:rFonts w:ascii="Times New Roman" w:hAnsi="Times New Roman" w:cs="Times New Roman"/>
          <w:i/>
          <w:sz w:val="24"/>
        </w:rPr>
        <w:t xml:space="preserve"> çalışmaları sunmasına gerek yoktur.)</w:t>
      </w:r>
    </w:p>
    <w:p w:rsidR="005C42FF" w:rsidRPr="009D055A" w:rsidRDefault="005C42FF" w:rsidP="00715595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9D055A">
        <w:rPr>
          <w:rFonts w:ascii="Times New Roman" w:hAnsi="Times New Roman" w:cs="Times New Roman"/>
          <w:b/>
          <w:i/>
          <w:sz w:val="24"/>
        </w:rPr>
        <w:t>Referans ürün:</w:t>
      </w:r>
      <w:r w:rsidRPr="009D055A">
        <w:rPr>
          <w:rFonts w:ascii="Times New Roman" w:hAnsi="Times New Roman" w:cs="Times New Roman"/>
          <w:i/>
          <w:sz w:val="24"/>
        </w:rPr>
        <w:t xml:space="preserve"> </w:t>
      </w:r>
      <w:r w:rsidRPr="009D055A">
        <w:rPr>
          <w:rFonts w:ascii="Times New Roman" w:hAnsi="Times New Roman" w:cs="Times New Roman"/>
          <w:i/>
          <w:sz w:val="24"/>
          <w:shd w:val="clear" w:color="auto" w:fill="FFFFFF"/>
        </w:rPr>
        <w:t xml:space="preserve">Bilimsel olarak kabul edilebilir </w:t>
      </w:r>
      <w:r w:rsidRPr="009D055A">
        <w:rPr>
          <w:rFonts w:ascii="Times New Roman" w:eastAsia="Times New Roman" w:hAnsi="Times New Roman" w:cs="Times New Roman"/>
          <w:i/>
          <w:sz w:val="24"/>
          <w:lang w:eastAsia="tr-TR"/>
        </w:rPr>
        <w:t>etkililik</w:t>
      </w:r>
      <w:r w:rsidRPr="009D055A">
        <w:rPr>
          <w:rFonts w:ascii="Times New Roman" w:hAnsi="Times New Roman" w:cs="Times New Roman"/>
          <w:i/>
          <w:sz w:val="24"/>
          <w:shd w:val="clear" w:color="auto" w:fill="FFFFFF"/>
        </w:rPr>
        <w:t xml:space="preserve">, kalite ve güvenliliğe sahip olduğu kanıtlanmış, etkin madde/maddeler açısından dünyada piyasaya ilk defa sunulmak üzere ruhsatlandırılmış veya izin verilmiş </w:t>
      </w:r>
      <w:r w:rsidRPr="009D055A">
        <w:rPr>
          <w:rFonts w:ascii="Times New Roman" w:eastAsia="Times New Roman" w:hAnsi="Times New Roman" w:cs="Times New Roman"/>
          <w:i/>
          <w:sz w:val="24"/>
          <w:lang w:eastAsia="tr-TR"/>
        </w:rPr>
        <w:t xml:space="preserve">beşeri tıbbi </w:t>
      </w:r>
      <w:r w:rsidRPr="009D055A">
        <w:rPr>
          <w:rFonts w:ascii="Times New Roman" w:hAnsi="Times New Roman" w:cs="Times New Roman"/>
          <w:i/>
          <w:sz w:val="24"/>
          <w:shd w:val="clear" w:color="auto" w:fill="FFFFFF"/>
        </w:rPr>
        <w:t>ürünü ifade eder.</w:t>
      </w:r>
    </w:p>
    <w:p w:rsidR="00967AE7" w:rsidRPr="00715595" w:rsidRDefault="009D055A" w:rsidP="00BE3525">
      <w:pPr>
        <w:rPr>
          <w:sz w:val="24"/>
          <w:szCs w:val="24"/>
        </w:rPr>
      </w:pPr>
    </w:p>
    <w:sectPr w:rsidR="00967AE7" w:rsidRPr="0071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520"/>
    <w:multiLevelType w:val="hybridMultilevel"/>
    <w:tmpl w:val="9F807B9C"/>
    <w:lvl w:ilvl="0" w:tplc="5C9C2C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32BEC"/>
    <w:multiLevelType w:val="hybridMultilevel"/>
    <w:tmpl w:val="575A91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48"/>
    <w:rsid w:val="00014700"/>
    <w:rsid w:val="00066135"/>
    <w:rsid w:val="000C5E8A"/>
    <w:rsid w:val="001F252F"/>
    <w:rsid w:val="002F28C8"/>
    <w:rsid w:val="003273B1"/>
    <w:rsid w:val="0040524A"/>
    <w:rsid w:val="005261FE"/>
    <w:rsid w:val="005C42FF"/>
    <w:rsid w:val="005E2B14"/>
    <w:rsid w:val="005F5048"/>
    <w:rsid w:val="00604C98"/>
    <w:rsid w:val="00715595"/>
    <w:rsid w:val="00765112"/>
    <w:rsid w:val="008C6814"/>
    <w:rsid w:val="009D055A"/>
    <w:rsid w:val="00B13DDF"/>
    <w:rsid w:val="00B27B9B"/>
    <w:rsid w:val="00BE3525"/>
    <w:rsid w:val="00D550CD"/>
    <w:rsid w:val="00EC5BBA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E2F5"/>
  <w15:chartTrackingRefBased/>
  <w15:docId w15:val="{B913E20E-5AD3-447A-92FB-85199CF3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2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KOYUNCU</dc:creator>
  <cp:keywords/>
  <dc:description/>
  <cp:lastModifiedBy>Zeynep KOYUNCU</cp:lastModifiedBy>
  <cp:revision>19</cp:revision>
  <dcterms:created xsi:type="dcterms:W3CDTF">2020-05-04T16:20:00Z</dcterms:created>
  <dcterms:modified xsi:type="dcterms:W3CDTF">2020-05-06T10:04:00Z</dcterms:modified>
</cp:coreProperties>
</file>